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14AA" w14:textId="77777777" w:rsidR="00E22ED3" w:rsidRPr="00E22ED3" w:rsidRDefault="00E22ED3" w:rsidP="00E22ED3">
      <w:pPr>
        <w:rPr>
          <w:vanish/>
        </w:rPr>
      </w:pPr>
    </w:p>
    <w:tbl>
      <w:tblPr>
        <w:tblStyle w:val="PlainTable1"/>
        <w:tblpPr w:leftFromText="180" w:rightFromText="180" w:horzAnchor="margin" w:tblpY="1160"/>
        <w:tblW w:w="0" w:type="auto"/>
        <w:tblLook w:val="04A0" w:firstRow="1" w:lastRow="0" w:firstColumn="1" w:lastColumn="0" w:noHBand="0" w:noVBand="1"/>
      </w:tblPr>
      <w:tblGrid>
        <w:gridCol w:w="3685"/>
        <w:gridCol w:w="7681"/>
      </w:tblGrid>
      <w:tr w:rsidR="00103796" w:rsidRPr="00E22ED3" w14:paraId="6FBECBDC" w14:textId="77777777" w:rsidTr="00CB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000000" w:themeFill="text1"/>
          </w:tcPr>
          <w:p w14:paraId="43CDD4A6" w14:textId="15214BDC" w:rsidR="00103796" w:rsidRPr="00CB1935" w:rsidRDefault="00CB1935" w:rsidP="00CB1935">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39680346" wp14:editId="0976C4A7">
                      <wp:simplePos x="0" y="0"/>
                      <wp:positionH relativeFrom="column">
                        <wp:posOffset>34925</wp:posOffset>
                      </wp:positionH>
                      <wp:positionV relativeFrom="paragraph">
                        <wp:posOffset>-747395</wp:posOffset>
                      </wp:positionV>
                      <wp:extent cx="6968067" cy="567267"/>
                      <wp:effectExtent l="0" t="0" r="23495" b="23495"/>
                      <wp:wrapNone/>
                      <wp:docPr id="690745786" name="Text Box 1"/>
                      <wp:cNvGraphicFramePr/>
                      <a:graphic xmlns:a="http://schemas.openxmlformats.org/drawingml/2006/main">
                        <a:graphicData uri="http://schemas.microsoft.com/office/word/2010/wordprocessingShape">
                          <wps:wsp>
                            <wps:cNvSpPr txBox="1"/>
                            <wps:spPr>
                              <a:xfrm>
                                <a:off x="0" y="0"/>
                                <a:ext cx="6968067" cy="567267"/>
                              </a:xfrm>
                              <a:prstGeom prst="rect">
                                <a:avLst/>
                              </a:prstGeom>
                              <a:solidFill>
                                <a:schemeClr val="lt1"/>
                              </a:solidFill>
                              <a:ln w="6350">
                                <a:solidFill>
                                  <a:prstClr val="black"/>
                                </a:solidFill>
                              </a:ln>
                            </wps:spPr>
                            <wps:txbx>
                              <w:txbxContent>
                                <w:p w14:paraId="75D1047A" w14:textId="5A6ADB00" w:rsidR="00CB1935" w:rsidRPr="00CB1935" w:rsidRDefault="00CB1935" w:rsidP="00CB1935">
                                  <w:pPr>
                                    <w:jc w:val="center"/>
                                    <w:rPr>
                                      <w:rFonts w:ascii="Cambria" w:hAnsi="Cambria"/>
                                      <w:b/>
                                      <w:bCs/>
                                      <w:sz w:val="56"/>
                                      <w:szCs w:val="56"/>
                                    </w:rPr>
                                  </w:pPr>
                                  <w:r w:rsidRPr="00CB1935">
                                    <w:rPr>
                                      <w:rFonts w:ascii="Cambria" w:hAnsi="Cambria"/>
                                      <w:b/>
                                      <w:bCs/>
                                      <w:sz w:val="56"/>
                                      <w:szCs w:val="56"/>
                                    </w:rPr>
                                    <w:t>DEI PRACTICES UNDER SCRUTINY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680346" id="_x0000_t202" coordsize="21600,21600" o:spt="202" path="m,l,21600r21600,l21600,xe">
                      <v:stroke joinstyle="miter"/>
                      <v:path gradientshapeok="t" o:connecttype="rect"/>
                    </v:shapetype>
                    <v:shape id="Text Box 1" o:spid="_x0000_s1026" type="#_x0000_t202" style="position:absolute;margin-left:2.75pt;margin-top:-58.85pt;width:548.65pt;height:4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7OQIAAH4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" fillcolor="white [3201]" strokeweight=".5pt">
                      <v:textbox>
                        <w:txbxContent>
                          <w:p w14:paraId="75D1047A" w14:textId="5A6ADB00" w:rsidR="00CB1935" w:rsidRPr="00CB1935" w:rsidRDefault="00CB1935" w:rsidP="00CB1935">
                            <w:pPr>
                              <w:jc w:val="center"/>
                              <w:rPr>
                                <w:rFonts w:ascii="Cambria" w:hAnsi="Cambria"/>
                                <w:b/>
                                <w:bCs/>
                                <w:sz w:val="56"/>
                                <w:szCs w:val="56"/>
                              </w:rPr>
                            </w:pPr>
                            <w:r w:rsidRPr="00CB1935">
                              <w:rPr>
                                <w:rFonts w:ascii="Cambria" w:hAnsi="Cambria"/>
                                <w:b/>
                                <w:bCs/>
                                <w:sz w:val="56"/>
                                <w:szCs w:val="56"/>
                              </w:rPr>
                              <w:t>DEI PRACTICES UNDER SCRUTINY</w:t>
                            </w:r>
                          </w:p>
                        </w:txbxContent>
                      </v:textbox>
                    </v:shape>
                  </w:pict>
                </mc:Fallback>
              </mc:AlternateContent>
            </w:r>
            <w:r w:rsidRPr="00CB1935">
              <w:rPr>
                <w:sz w:val="28"/>
                <w:szCs w:val="28"/>
              </w:rPr>
              <w:t>DEI PRACTICE UNDER SCRUTINY</w:t>
            </w:r>
          </w:p>
        </w:tc>
        <w:tc>
          <w:tcPr>
            <w:tcW w:w="7681" w:type="dxa"/>
            <w:shd w:val="clear" w:color="auto" w:fill="000000" w:themeFill="text1"/>
          </w:tcPr>
          <w:p w14:paraId="4A63BFB8" w14:textId="1650932E" w:rsidR="00103796" w:rsidRPr="00CB1935" w:rsidRDefault="00CB1935" w:rsidP="00CB1935">
            <w:pPr>
              <w:cnfStyle w:val="100000000000" w:firstRow="1" w:lastRow="0" w:firstColumn="0" w:lastColumn="0" w:oddVBand="0" w:evenVBand="0" w:oddHBand="0" w:evenHBand="0" w:firstRowFirstColumn="0" w:firstRowLastColumn="0" w:lastRowFirstColumn="0" w:lastRowLastColumn="0"/>
              <w:rPr>
                <w:sz w:val="28"/>
                <w:szCs w:val="28"/>
              </w:rPr>
            </w:pPr>
            <w:r w:rsidRPr="00CB1935">
              <w:rPr>
                <w:sz w:val="28"/>
                <w:szCs w:val="28"/>
              </w:rPr>
              <w:t>TITLE VII CONCERN (WHY IT MAY BE UNLAWFUL)</w:t>
            </w:r>
          </w:p>
        </w:tc>
      </w:tr>
      <w:tr w:rsidR="00E22ED3" w:rsidRPr="00E22ED3" w14:paraId="7688541D" w14:textId="77777777" w:rsidTr="00CB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hideMark/>
          </w:tcPr>
          <w:p w14:paraId="48618ED4" w14:textId="77777777" w:rsidR="00E22ED3" w:rsidRPr="00E22ED3" w:rsidRDefault="00E22ED3" w:rsidP="00CB1935">
            <w:pPr>
              <w:spacing w:after="160" w:line="278" w:lineRule="auto"/>
            </w:pPr>
            <w:r w:rsidRPr="00E22ED3">
              <w:t xml:space="preserve">Hiring Quotas or “Workforce Balancing” </w:t>
            </w:r>
            <w:r w:rsidRPr="00E22ED3">
              <w:br/>
            </w:r>
            <w:r w:rsidRPr="00E22ED3">
              <w:rPr>
                <w:i/>
                <w:iCs/>
              </w:rPr>
              <w:t>e.g., reserving a set number of hires/promotions for a certain race or sex</w:t>
            </w:r>
          </w:p>
        </w:tc>
        <w:tc>
          <w:tcPr>
            <w:tcW w:w="7681" w:type="dxa"/>
            <w:hideMark/>
          </w:tcPr>
          <w:p w14:paraId="61B14962" w14:textId="71D52A29" w:rsidR="00E22ED3" w:rsidRPr="00E22ED3" w:rsidRDefault="00E22ED3" w:rsidP="00CB1935">
            <w:pPr>
              <w:spacing w:after="160" w:line="278" w:lineRule="auto"/>
              <w:cnfStyle w:val="000000100000" w:firstRow="0" w:lastRow="0" w:firstColumn="0" w:lastColumn="0" w:oddVBand="0" w:evenVBand="0" w:oddHBand="1" w:evenHBand="0" w:firstRowFirstColumn="0" w:firstRowLastColumn="0" w:lastRowFirstColumn="0" w:lastRowLastColumn="0"/>
              <w:rPr>
                <w:b/>
                <w:bCs/>
              </w:rPr>
            </w:pPr>
            <w:r w:rsidRPr="00E22ED3">
              <w:rPr>
                <w:b/>
                <w:bCs/>
              </w:rPr>
              <w:t>Explicitly treating applicants differently based on race/sex is disparate treatment. Using quotas or attempting to “balance” the workforce by protected traits violates Title VII’s core ban on intentional discrimination</w:t>
            </w:r>
            <w:r w:rsidRPr="00103796">
              <w:rPr>
                <w:b/>
                <w:bCs/>
              </w:rPr>
              <w:t>.</w:t>
            </w:r>
            <w:r w:rsidRPr="00E22ED3">
              <w:rPr>
                <w:b/>
                <w:bCs/>
              </w:rPr>
              <w:t>​</w:t>
            </w:r>
          </w:p>
          <w:p w14:paraId="1BBF11DE" w14:textId="2598881C" w:rsidR="00E22ED3" w:rsidRPr="00E22ED3" w:rsidRDefault="00E22ED3" w:rsidP="00CB1935">
            <w:pPr>
              <w:spacing w:after="160" w:line="278" w:lineRule="auto"/>
              <w:cnfStyle w:val="000000100000" w:firstRow="0" w:lastRow="0" w:firstColumn="0" w:lastColumn="0" w:oddVBand="0" w:evenVBand="0" w:oddHBand="1" w:evenHBand="0" w:firstRowFirstColumn="0" w:firstRowLastColumn="0" w:lastRowFirstColumn="0" w:lastRowLastColumn="0"/>
              <w:rPr>
                <w:b/>
                <w:bCs/>
              </w:rPr>
            </w:pPr>
            <w:hyperlink r:id="rId4" w:anchor=":~:text=%E2%80%9CFar%20too%20many%20employers%20defend,%E2%80%99%E2%80%9D" w:tgtFrame="_blank" w:history="1">
              <w:r w:rsidRPr="00E22ED3">
                <w:rPr>
                  <w:rStyle w:val="Hyperlink"/>
                  <w:b/>
                  <w:bCs/>
                </w:rPr>
                <w:t>justice.gov</w:t>
              </w:r>
            </w:hyperlink>
          </w:p>
          <w:p w14:paraId="0C1D3370" w14:textId="77777777" w:rsidR="00E22ED3" w:rsidRPr="00E22ED3" w:rsidRDefault="00E22ED3" w:rsidP="00CB1935">
            <w:pPr>
              <w:spacing w:after="160" w:line="278" w:lineRule="auto"/>
              <w:cnfStyle w:val="000000100000" w:firstRow="0" w:lastRow="0" w:firstColumn="0" w:lastColumn="0" w:oddVBand="0" w:evenVBand="0" w:oddHBand="1" w:evenHBand="0" w:firstRowFirstColumn="0" w:firstRowLastColumn="0" w:lastRowFirstColumn="0" w:lastRowLastColumn="0"/>
              <w:rPr>
                <w:b/>
                <w:bCs/>
              </w:rPr>
            </w:pPr>
            <w:hyperlink r:id="rId5" w:anchor=":~:text=based%20on%20sex%20or%20race" w:tgtFrame="_blank" w:history="1">
              <w:r w:rsidRPr="00E22ED3">
                <w:rPr>
                  <w:rStyle w:val="Hyperlink"/>
                  <w:b/>
                  <w:bCs/>
                </w:rPr>
                <w:t>hrdive.com</w:t>
              </w:r>
            </w:hyperlink>
          </w:p>
          <w:p w14:paraId="574B1598" w14:textId="1065CAE6" w:rsidR="00E22ED3" w:rsidRPr="00E22ED3" w:rsidRDefault="00E22ED3" w:rsidP="00CB1935">
            <w:pPr>
              <w:spacing w:after="160" w:line="278" w:lineRule="auto"/>
              <w:cnfStyle w:val="000000100000" w:firstRow="0" w:lastRow="0" w:firstColumn="0" w:lastColumn="0" w:oddVBand="0" w:evenVBand="0" w:oddHBand="1" w:evenHBand="0" w:firstRowFirstColumn="0" w:firstRowLastColumn="0" w:lastRowFirstColumn="0" w:lastRowLastColumn="0"/>
            </w:pPr>
          </w:p>
        </w:tc>
      </w:tr>
    </w:tbl>
    <w:p w14:paraId="670FCBF4"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3685"/>
        <w:gridCol w:w="7681"/>
      </w:tblGrid>
      <w:tr w:rsidR="00E22ED3" w:rsidRPr="00E22ED3" w14:paraId="24390D4B" w14:textId="77777777" w:rsidTr="00E22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4102D60" w14:textId="77777777" w:rsidR="00E22ED3" w:rsidRPr="00E22ED3" w:rsidRDefault="00E22ED3" w:rsidP="00E22ED3">
            <w:pPr>
              <w:spacing w:after="160" w:line="278" w:lineRule="auto"/>
            </w:pPr>
            <w:r w:rsidRPr="00E22ED3">
              <w:t xml:space="preserve">“Diverse Slate” Requirements </w:t>
            </w:r>
            <w:r w:rsidRPr="00E22ED3">
              <w:br/>
            </w:r>
            <w:r w:rsidRPr="00E22ED3">
              <w:rPr>
                <w:i/>
                <w:iCs/>
              </w:rPr>
              <w:t>mandating certain demographics in candidate interview pools</w:t>
            </w:r>
          </w:p>
        </w:tc>
        <w:tc>
          <w:tcPr>
            <w:tcW w:w="7681" w:type="dxa"/>
            <w:hideMark/>
          </w:tcPr>
          <w:p w14:paraId="5BA99EA1" w14:textId="5E8CBFB5"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If implemented by including or excluding candidates because of their race, sex, etc., it constitutes intentional discrimination in recruitment​</w:t>
            </w:r>
            <w:r w:rsidRPr="00103796">
              <w:rPr>
                <w:b w:val="0"/>
                <w:bCs w:val="0"/>
              </w:rPr>
              <w:t>.</w:t>
            </w:r>
          </w:p>
          <w:p w14:paraId="15376FC4"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6" w:anchor=":~:text=Diverse%20Interview%20Slates%3A%20The%20EEOC%E2%80%99s,groups%20in%20their%20interview%20pools" w:tgtFrame="_blank" w:history="1">
              <w:r w:rsidRPr="00E22ED3">
                <w:rPr>
                  <w:rStyle w:val="Hyperlink"/>
                  <w:b w:val="0"/>
                  <w:bCs w:val="0"/>
                </w:rPr>
                <w:t>seyfarth.com</w:t>
              </w:r>
            </w:hyperlink>
          </w:p>
          <w:p w14:paraId="0AC76D8D" w14:textId="58A36BA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 xml:space="preserve"> Such policies may also require asking about or identifying candidates’ protected characteristics during hiring, which can be evidence of bias in the selection process​</w:t>
            </w:r>
            <w:r w:rsidRPr="00103796">
              <w:rPr>
                <w:b w:val="0"/>
                <w:bCs w:val="0"/>
              </w:rPr>
              <w:t>.</w:t>
            </w:r>
          </w:p>
          <w:p w14:paraId="00284704" w14:textId="0BF5E508"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hyperlink r:id="rId7" w:anchor=":~:text=A%20footnote%20cautions%20that%20%E2%80%9Cdiverse,%E2%80%9D" w:tgtFrame="_blank" w:history="1">
              <w:r w:rsidRPr="00E22ED3">
                <w:rPr>
                  <w:rStyle w:val="Hyperlink"/>
                  <w:b w:val="0"/>
                  <w:bCs w:val="0"/>
                </w:rPr>
                <w:t>seyfarth.com</w:t>
              </w:r>
            </w:hyperlink>
          </w:p>
        </w:tc>
      </w:tr>
    </w:tbl>
    <w:p w14:paraId="3BBFA980"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3685"/>
        <w:gridCol w:w="7681"/>
      </w:tblGrid>
      <w:tr w:rsidR="00E22ED3" w:rsidRPr="00E22ED3" w14:paraId="51EA4778" w14:textId="77777777" w:rsidTr="00CB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F2F2F2" w:themeFill="background1" w:themeFillShade="F2"/>
            <w:vAlign w:val="center"/>
            <w:hideMark/>
          </w:tcPr>
          <w:p w14:paraId="42D65EA7" w14:textId="77777777" w:rsidR="00E22ED3" w:rsidRPr="00E22ED3" w:rsidRDefault="00E22ED3" w:rsidP="00E22ED3">
            <w:pPr>
              <w:spacing w:after="160" w:line="278" w:lineRule="auto"/>
            </w:pPr>
            <w:r w:rsidRPr="00E22ED3">
              <w:t xml:space="preserve">Exclusive Affinity Groups/ERGs </w:t>
            </w:r>
            <w:r w:rsidRPr="00E22ED3">
              <w:br/>
            </w:r>
            <w:r w:rsidRPr="00E22ED3">
              <w:rPr>
                <w:i/>
                <w:iCs/>
              </w:rPr>
              <w:t>employee resource groups limited to members of one race/gender, etc.</w:t>
            </w:r>
          </w:p>
        </w:tc>
        <w:tc>
          <w:tcPr>
            <w:tcW w:w="7681" w:type="dxa"/>
            <w:shd w:val="clear" w:color="auto" w:fill="F2F2F2" w:themeFill="background1" w:themeFillShade="F2"/>
            <w:hideMark/>
          </w:tcPr>
          <w:p w14:paraId="34FA0DA0" w14:textId="205FD94F"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 xml:space="preserve">Closing membership based on protected status can unlawfully </w:t>
            </w:r>
            <w:r w:rsidRPr="00E22ED3">
              <w:rPr>
                <w:b w:val="0"/>
                <w:bCs w:val="0"/>
                <w:i/>
                <w:iCs/>
              </w:rPr>
              <w:t>“limit or segregate”</w:t>
            </w:r>
            <w:r w:rsidRPr="00E22ED3">
              <w:rPr>
                <w:b w:val="0"/>
                <w:bCs w:val="0"/>
              </w:rPr>
              <w:t xml:space="preserve"> employees. Since these groups are often employer-supported, barring someone from joining due to their race/sex deprives them of networking or support opportunities at work, violating Title VII​</w:t>
            </w:r>
            <w:r w:rsidRPr="00103796">
              <w:rPr>
                <w:b w:val="0"/>
                <w:bCs w:val="0"/>
              </w:rPr>
              <w:t>.</w:t>
            </w:r>
          </w:p>
          <w:p w14:paraId="5610EE8E" w14:textId="2E0126BC"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8" w:anchor=":~:text=Employee%20Resource%20Groups%20,employees%20based%20on%20protected%20characteristics" w:tgtFrame="_blank" w:history="1">
              <w:r w:rsidRPr="00E22ED3">
                <w:rPr>
                  <w:rStyle w:val="Hyperlink"/>
                  <w:b w:val="0"/>
                  <w:bCs w:val="0"/>
                </w:rPr>
                <w:t>seyfarth.com</w:t>
              </w:r>
            </w:hyperlink>
          </w:p>
          <w:p w14:paraId="629CAF66"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9" w:anchor=":~:text=,or%20other%20privileges%20of%20employment" w:tgtFrame="_blank" w:history="1">
              <w:r w:rsidRPr="00E22ED3">
                <w:rPr>
                  <w:rStyle w:val="Hyperlink"/>
                  <w:b w:val="0"/>
                  <w:bCs w:val="0"/>
                </w:rPr>
                <w:t>foleyhoag.com</w:t>
              </w:r>
            </w:hyperlink>
          </w:p>
          <w:p w14:paraId="3001D8E3" w14:textId="609302BD"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r w:rsidRPr="00E22ED3">
              <w:rPr>
                <w:b w:val="0"/>
                <w:bCs w:val="0"/>
              </w:rPr>
              <w:t xml:space="preserve">The guidance indicates affinity groups should be open to </w:t>
            </w:r>
            <w:r w:rsidRPr="00E22ED3">
              <w:rPr>
                <w:b w:val="0"/>
                <w:bCs w:val="0"/>
                <w:i/>
                <w:iCs/>
              </w:rPr>
              <w:t>all</w:t>
            </w:r>
            <w:r w:rsidRPr="00E22ED3">
              <w:rPr>
                <w:b w:val="0"/>
                <w:bCs w:val="0"/>
              </w:rPr>
              <w:t xml:space="preserve"> employees (including allies) to avoid this concern.</w:t>
            </w:r>
          </w:p>
        </w:tc>
      </w:tr>
    </w:tbl>
    <w:p w14:paraId="23C4999E"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3685"/>
        <w:gridCol w:w="7681"/>
      </w:tblGrid>
      <w:tr w:rsidR="00E22ED3" w:rsidRPr="00E22ED3" w14:paraId="46811F82" w14:textId="77777777" w:rsidTr="00E22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45FFC4" w14:textId="77777777" w:rsidR="00E22ED3" w:rsidRPr="00E22ED3" w:rsidRDefault="00E22ED3" w:rsidP="00E22ED3">
            <w:pPr>
              <w:spacing w:after="160" w:line="278" w:lineRule="auto"/>
            </w:pPr>
            <w:r w:rsidRPr="00E22ED3">
              <w:t xml:space="preserve">Identity-Restricted Training or Events </w:t>
            </w:r>
            <w:r w:rsidRPr="00E22ED3">
              <w:br/>
            </w:r>
            <w:r w:rsidRPr="00E22ED3">
              <w:rPr>
                <w:i/>
                <w:iCs/>
              </w:rPr>
              <w:t>separating employees by demographic for DEI training, workshops, or networking events</w:t>
            </w:r>
          </w:p>
        </w:tc>
        <w:tc>
          <w:tcPr>
            <w:tcW w:w="7681" w:type="dxa"/>
            <w:hideMark/>
          </w:tcPr>
          <w:p w14:paraId="4071D2FA" w14:textId="02DD0992"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Segregating workers by race, sex, etc. for any work program is unlawful, even if each group receives the same content​</w:t>
            </w:r>
            <w:r w:rsidRPr="00103796">
              <w:rPr>
                <w:b w:val="0"/>
                <w:bCs w:val="0"/>
              </w:rPr>
              <w:t>.</w:t>
            </w:r>
          </w:p>
          <w:p w14:paraId="69B79350"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10" w:anchor=":~:text=,guidance%2C%20it%20is%20unlawful%20to" w:tgtFrame="_blank" w:history="1">
              <w:r w:rsidRPr="00E22ED3">
                <w:rPr>
                  <w:rStyle w:val="Hyperlink"/>
                  <w:b w:val="0"/>
                  <w:bCs w:val="0"/>
                </w:rPr>
                <w:t>foleyhoag.com</w:t>
              </w:r>
            </w:hyperlink>
          </w:p>
          <w:p w14:paraId="429B63BE" w14:textId="7B9471FF"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Title VII forbids “separating workers into groups” based on protected traits for trainings or other employment benefits​</w:t>
            </w:r>
            <w:r w:rsidRPr="00103796">
              <w:rPr>
                <w:b w:val="0"/>
                <w:bCs w:val="0"/>
              </w:rPr>
              <w:t>.</w:t>
            </w:r>
          </w:p>
          <w:p w14:paraId="5E4E3747"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11" w:anchor=":~:text=Segregated%20Training%20or%20Programming%3A%20Both,spaces%E2%80%9D%20or%20other%20separated%20programming" w:tgtFrame="_blank" w:history="1">
              <w:r w:rsidRPr="00E22ED3">
                <w:rPr>
                  <w:rStyle w:val="Hyperlink"/>
                  <w:b w:val="0"/>
                  <w:bCs w:val="0"/>
                </w:rPr>
                <w:t>seyfarth.com</w:t>
              </w:r>
            </w:hyperlink>
          </w:p>
          <w:p w14:paraId="35AA7B91" w14:textId="77777777" w:rsid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r w:rsidRPr="00E22ED3">
              <w:rPr>
                <w:b w:val="0"/>
                <w:bCs w:val="0"/>
              </w:rPr>
              <w:t>Such separation can make employees feel excluded or classified by their identity, which is precisely what the law prohibits.</w:t>
            </w:r>
          </w:p>
          <w:p w14:paraId="5C0A9BCC" w14:textId="77777777" w:rsidR="00CB1935" w:rsidRDefault="00CB1935" w:rsidP="00E22ED3">
            <w:pPr>
              <w:spacing w:after="160" w:line="278" w:lineRule="auto"/>
              <w:cnfStyle w:val="100000000000" w:firstRow="1" w:lastRow="0" w:firstColumn="0" w:lastColumn="0" w:oddVBand="0" w:evenVBand="0" w:oddHBand="0" w:evenHBand="0" w:firstRowFirstColumn="0" w:firstRowLastColumn="0" w:lastRowFirstColumn="0" w:lastRowLastColumn="0"/>
            </w:pPr>
          </w:p>
          <w:p w14:paraId="79AB9507" w14:textId="0186A64E" w:rsidR="00CB1935" w:rsidRPr="00E22ED3" w:rsidRDefault="00CB1935" w:rsidP="00E22ED3">
            <w:pPr>
              <w:spacing w:after="160" w:line="278" w:lineRule="auto"/>
              <w:cnfStyle w:val="100000000000" w:firstRow="1" w:lastRow="0" w:firstColumn="0" w:lastColumn="0" w:oddVBand="0" w:evenVBand="0" w:oddHBand="0" w:evenHBand="0" w:firstRowFirstColumn="0" w:firstRowLastColumn="0" w:lastRowFirstColumn="0" w:lastRowLastColumn="0"/>
            </w:pPr>
          </w:p>
        </w:tc>
      </w:tr>
    </w:tbl>
    <w:p w14:paraId="62A2A2B4"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4225"/>
        <w:gridCol w:w="7141"/>
      </w:tblGrid>
      <w:tr w:rsidR="00E22ED3" w:rsidRPr="00E22ED3" w14:paraId="0265D0F6" w14:textId="77777777" w:rsidTr="00CB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vAlign w:val="center"/>
            <w:hideMark/>
          </w:tcPr>
          <w:p w14:paraId="1448C37D" w14:textId="77777777" w:rsidR="00E22ED3" w:rsidRPr="00E22ED3" w:rsidRDefault="00E22ED3" w:rsidP="00103796">
            <w:pPr>
              <w:spacing w:after="160" w:line="278" w:lineRule="auto"/>
            </w:pPr>
            <w:r w:rsidRPr="00E22ED3">
              <w:lastRenderedPageBreak/>
              <w:t xml:space="preserve">Selective Mentoring/Sponsorship Programs </w:t>
            </w:r>
            <w:r w:rsidRPr="00E22ED3">
              <w:br/>
            </w:r>
            <w:r w:rsidRPr="00E22ED3">
              <w:rPr>
                <w:i/>
                <w:iCs/>
              </w:rPr>
              <w:t>mentorship, leadership development, or sponsorship opportunities only open to a certain demographic</w:t>
            </w:r>
          </w:p>
        </w:tc>
        <w:tc>
          <w:tcPr>
            <w:tcW w:w="7141" w:type="dxa"/>
            <w:shd w:val="clear" w:color="auto" w:fill="F2F2F2" w:themeFill="background1" w:themeFillShade="F2"/>
            <w:hideMark/>
          </w:tcPr>
          <w:p w14:paraId="46803BB2" w14:textId="0CC7BF72"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Denying access to career advancement opportunities on the basis of race, gender, or other protected traits is disparate treatment​</w:t>
            </w:r>
            <w:r w:rsidRPr="00103796">
              <w:rPr>
                <w:b w:val="0"/>
                <w:bCs w:val="0"/>
              </w:rPr>
              <w:t>.</w:t>
            </w:r>
          </w:p>
          <w:p w14:paraId="407EF8BA"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12" w:anchor=":~:text=Mentoring%20and%20Networking%20Programs%3A%20Both,that%20limit%20participation%20based%20on" w:tgtFrame="_blank" w:history="1">
              <w:r w:rsidRPr="00E22ED3">
                <w:rPr>
                  <w:rStyle w:val="Hyperlink"/>
                  <w:b w:val="0"/>
                  <w:bCs w:val="0"/>
                </w:rPr>
                <w:t>seyfarth.com</w:t>
              </w:r>
            </w:hyperlink>
          </w:p>
          <w:p w14:paraId="6218C1F9" w14:textId="605AF496"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 xml:space="preserve">These programs affect employees’ advancement (a term or privilege of employment), so limiting them to one group means others are treated less favorably due to their protected status. The EEOC advises making mentoring and networking available to </w:t>
            </w:r>
            <w:r w:rsidRPr="00E22ED3">
              <w:rPr>
                <w:b w:val="0"/>
                <w:bCs w:val="0"/>
                <w:i/>
                <w:iCs/>
              </w:rPr>
              <w:t>“employees of all backgrounds</w:t>
            </w:r>
            <w:r w:rsidRPr="00103796">
              <w:rPr>
                <w:b w:val="0"/>
                <w:bCs w:val="0"/>
                <w:i/>
                <w:iCs/>
              </w:rPr>
              <w:t>.</w:t>
            </w:r>
            <w:r w:rsidRPr="00E22ED3">
              <w:rPr>
                <w:b w:val="0"/>
                <w:bCs w:val="0"/>
                <w:i/>
                <w:iCs/>
              </w:rPr>
              <w:t>”</w:t>
            </w:r>
            <w:r w:rsidRPr="00E22ED3">
              <w:rPr>
                <w:b w:val="0"/>
                <w:bCs w:val="0"/>
              </w:rPr>
              <w:t>​</w:t>
            </w:r>
          </w:p>
          <w:p w14:paraId="3B9947D7" w14:textId="666434B8"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hyperlink r:id="rId13" w:anchor=":~:text=Mentoring%20and%20Networking%20Programs%3A%20Both,that%20limit%20participation%20based%20on" w:tgtFrame="_blank" w:history="1">
              <w:r w:rsidRPr="00E22ED3">
                <w:rPr>
                  <w:rStyle w:val="Hyperlink"/>
                  <w:b w:val="0"/>
                  <w:bCs w:val="0"/>
                </w:rPr>
                <w:t>seyfarth.com</w:t>
              </w:r>
            </w:hyperlink>
          </w:p>
        </w:tc>
      </w:tr>
    </w:tbl>
    <w:p w14:paraId="170E1648"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4225"/>
        <w:gridCol w:w="7141"/>
      </w:tblGrid>
      <w:tr w:rsidR="00E22ED3" w:rsidRPr="00E22ED3" w14:paraId="5490516A" w14:textId="77777777" w:rsidTr="00103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hideMark/>
          </w:tcPr>
          <w:p w14:paraId="12798262" w14:textId="77777777" w:rsidR="00E22ED3" w:rsidRPr="00E22ED3" w:rsidRDefault="00E22ED3" w:rsidP="00103796">
            <w:pPr>
              <w:spacing w:after="160" w:line="278" w:lineRule="auto"/>
            </w:pPr>
            <w:r w:rsidRPr="00E22ED3">
              <w:t xml:space="preserve">Diversity-Only Internship/Fellowship Programs </w:t>
            </w:r>
            <w:r w:rsidRPr="00E22ED3">
              <w:br/>
            </w:r>
            <w:r w:rsidRPr="00E22ED3">
              <w:rPr>
                <w:i/>
                <w:iCs/>
              </w:rPr>
              <w:t>hiring interns or fellows from only one protected group</w:t>
            </w:r>
          </w:p>
        </w:tc>
        <w:tc>
          <w:tcPr>
            <w:tcW w:w="7141" w:type="dxa"/>
            <w:hideMark/>
          </w:tcPr>
          <w:p w14:paraId="5A8B92E3" w14:textId="046FA350"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If membership or selection is restricted by protected trait, it unlawfully shuts out other applicants because of who they are</w:t>
            </w:r>
            <w:r w:rsidRPr="00103796">
              <w:rPr>
                <w:b w:val="0"/>
                <w:bCs w:val="0"/>
              </w:rPr>
              <w:t>.</w:t>
            </w:r>
            <w:r w:rsidRPr="00E22ED3">
              <w:rPr>
                <w:b w:val="0"/>
                <w:bCs w:val="0"/>
              </w:rPr>
              <w:t>​</w:t>
            </w:r>
          </w:p>
          <w:p w14:paraId="378EEB87"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14" w:anchor=":~:text=,exclusion%20from%20a%20candidate%20pool" w:tgtFrame="_blank" w:history="1">
              <w:r w:rsidRPr="00E22ED3">
                <w:rPr>
                  <w:rStyle w:val="Hyperlink"/>
                  <w:b w:val="0"/>
                  <w:bCs w:val="0"/>
                </w:rPr>
                <w:t>ogletree.com</w:t>
              </w:r>
            </w:hyperlink>
          </w:p>
          <w:p w14:paraId="00EE6473" w14:textId="59253BB0"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r w:rsidRPr="00E22ED3">
              <w:rPr>
                <w:b w:val="0"/>
                <w:bCs w:val="0"/>
              </w:rPr>
              <w:t xml:space="preserve">While outreach can target underrepresented communities, the selection criteria cannot </w:t>
            </w:r>
            <w:r w:rsidRPr="00E22ED3">
              <w:rPr>
                <w:b w:val="0"/>
                <w:bCs w:val="0"/>
                <w:i/>
                <w:iCs/>
              </w:rPr>
              <w:t>require</w:t>
            </w:r>
            <w:r w:rsidRPr="00E22ED3">
              <w:rPr>
                <w:b w:val="0"/>
                <w:bCs w:val="0"/>
              </w:rPr>
              <w:t xml:space="preserve"> a specific race, sex, etc. without violating Title VII. All applicants must have equal opportunity to be considered.</w:t>
            </w:r>
          </w:p>
        </w:tc>
      </w:tr>
    </w:tbl>
    <w:p w14:paraId="3F902DD8"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4225"/>
        <w:gridCol w:w="7141"/>
      </w:tblGrid>
      <w:tr w:rsidR="00E22ED3" w:rsidRPr="00E22ED3" w14:paraId="35C5FE3E" w14:textId="77777777" w:rsidTr="00CB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vAlign w:val="center"/>
            <w:hideMark/>
          </w:tcPr>
          <w:p w14:paraId="193B90B6" w14:textId="77777777" w:rsidR="00E22ED3" w:rsidRPr="00E22ED3" w:rsidRDefault="00E22ED3" w:rsidP="00103796">
            <w:pPr>
              <w:spacing w:after="160" w:line="278" w:lineRule="auto"/>
            </w:pPr>
            <w:r w:rsidRPr="00E22ED3">
              <w:t xml:space="preserve">Employment Actions to Satisfy Customer Preferences </w:t>
            </w:r>
            <w:r w:rsidRPr="00E22ED3">
              <w:br/>
            </w:r>
            <w:r w:rsidRPr="00E22ED3">
              <w:rPr>
                <w:i/>
                <w:iCs/>
              </w:rPr>
              <w:t>e.g., assigning or not assigning staff to projects because a client requests a certain race/gender</w:t>
            </w:r>
          </w:p>
        </w:tc>
        <w:tc>
          <w:tcPr>
            <w:tcW w:w="7141" w:type="dxa"/>
            <w:shd w:val="clear" w:color="auto" w:fill="F2F2F2" w:themeFill="background1" w:themeFillShade="F2"/>
            <w:hideMark/>
          </w:tcPr>
          <w:p w14:paraId="1D2B5668"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 xml:space="preserve">Basing employment decisions on client or customer preference for a protected class is illegal. The guidance flatly states that an employer cannot justify discrimination </w:t>
            </w:r>
            <w:r w:rsidRPr="00E22ED3">
              <w:rPr>
                <w:b w:val="0"/>
                <w:bCs w:val="0"/>
                <w:i/>
                <w:iCs/>
              </w:rPr>
              <w:t>“because the employer’s clients or customers prefer”</w:t>
            </w:r>
            <w:r w:rsidRPr="00E22ED3">
              <w:rPr>
                <w:b w:val="0"/>
                <w:bCs w:val="0"/>
              </w:rPr>
              <w:t xml:space="preserve"> a certain demographic​</w:t>
            </w:r>
          </w:p>
          <w:p w14:paraId="229EA7C7" w14:textId="7777777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hyperlink r:id="rId15" w:anchor=":~:text=It%20further%20provides%20that%20employers,discrimination%20on%20the%20basis%20of" w:tgtFrame="_blank" w:history="1">
              <w:r w:rsidRPr="00E22ED3">
                <w:rPr>
                  <w:rStyle w:val="Hyperlink"/>
                  <w:b w:val="0"/>
                  <w:bCs w:val="0"/>
                </w:rPr>
                <w:t>theemployerreport.com</w:t>
              </w:r>
            </w:hyperlink>
          </w:p>
          <w:p w14:paraId="3B974886" w14:textId="52461807"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r w:rsidRPr="00E22ED3">
              <w:rPr>
                <w:b w:val="0"/>
                <w:bCs w:val="0"/>
              </w:rPr>
              <w:t>Title VII allows no exception for catering to third-party biases.</w:t>
            </w:r>
          </w:p>
        </w:tc>
      </w:tr>
    </w:tbl>
    <w:p w14:paraId="07B767E5"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4225"/>
        <w:gridCol w:w="7141"/>
      </w:tblGrid>
      <w:tr w:rsidR="00E22ED3" w:rsidRPr="00E22ED3" w14:paraId="474D1931" w14:textId="77777777" w:rsidTr="00103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hideMark/>
          </w:tcPr>
          <w:p w14:paraId="221967BA" w14:textId="77777777" w:rsidR="00E22ED3" w:rsidRPr="00E22ED3" w:rsidRDefault="00E22ED3" w:rsidP="00103796">
            <w:pPr>
              <w:spacing w:after="160" w:line="278" w:lineRule="auto"/>
            </w:pPr>
            <w:r w:rsidRPr="00E22ED3">
              <w:t xml:space="preserve">DEI Training Content or Exercises (that </w:t>
            </w:r>
            <w:r w:rsidRPr="00E22ED3">
              <w:rPr>
                <w:i/>
                <w:iCs/>
              </w:rPr>
              <w:t>might demean or stereotype</w:t>
            </w:r>
            <w:r w:rsidRPr="00E22ED3">
              <w:t>)</w:t>
            </w:r>
          </w:p>
        </w:tc>
        <w:tc>
          <w:tcPr>
            <w:tcW w:w="7141" w:type="dxa"/>
            <w:hideMark/>
          </w:tcPr>
          <w:p w14:paraId="56F0E02E" w14:textId="2E1AC80F" w:rsidR="00E22ED3" w:rsidRPr="00103796"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 xml:space="preserve">Training </w:t>
            </w:r>
            <w:r w:rsidR="00CB1935" w:rsidRPr="00E22ED3">
              <w:rPr>
                <w:b w:val="0"/>
                <w:bCs w:val="0"/>
              </w:rPr>
              <w:t>that target</w:t>
            </w:r>
            <w:r w:rsidRPr="00E22ED3">
              <w:rPr>
                <w:b w:val="0"/>
                <w:bCs w:val="0"/>
              </w:rPr>
              <w:t xml:space="preserve"> or belittles employees due to their race, sex, etc. could create a </w:t>
            </w:r>
            <w:r w:rsidRPr="00E22ED3">
              <w:rPr>
                <w:b w:val="0"/>
                <w:bCs w:val="0"/>
                <w:i/>
                <w:iCs/>
              </w:rPr>
              <w:t>hostile work environment</w:t>
            </w:r>
            <w:r w:rsidRPr="00E22ED3">
              <w:rPr>
                <w:b w:val="0"/>
                <w:bCs w:val="0"/>
              </w:rPr>
              <w:t>. If DEI content is “discriminatory in content or context” (for example, singling out one group as oppressors or requiring one gender to listen silently), it may be viewed as harassment based on a protected trait​</w:t>
            </w:r>
            <w:r w:rsidRPr="00103796">
              <w:rPr>
                <w:b w:val="0"/>
                <w:bCs w:val="0"/>
              </w:rPr>
              <w:t xml:space="preserve"> </w:t>
            </w:r>
            <w:hyperlink r:id="rId16" w:anchor=":~:text=,%E2%80%9D" w:tgtFrame="_blank" w:history="1">
              <w:r w:rsidRPr="00E22ED3">
                <w:rPr>
                  <w:rStyle w:val="Hyperlink"/>
                  <w:b w:val="0"/>
                  <w:bCs w:val="0"/>
                </w:rPr>
                <w:t>morganlewis.com</w:t>
              </w:r>
            </w:hyperlink>
            <w:r w:rsidRPr="00103796">
              <w:rPr>
                <w:b w:val="0"/>
                <w:bCs w:val="0"/>
              </w:rPr>
              <w:t>.</w:t>
            </w:r>
          </w:p>
          <w:p w14:paraId="1041CC73" w14:textId="356AA2B6"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r w:rsidRPr="00E22ED3">
              <w:rPr>
                <w:b w:val="0"/>
                <w:bCs w:val="0"/>
              </w:rPr>
              <w:t>Employers should vet DEI content to ensure respect and inclusivity for all employees.</w:t>
            </w:r>
          </w:p>
        </w:tc>
      </w:tr>
    </w:tbl>
    <w:p w14:paraId="73CC363A" w14:textId="77777777" w:rsidR="00E22ED3" w:rsidRPr="00E22ED3" w:rsidRDefault="00E22ED3" w:rsidP="00E22ED3">
      <w:pPr>
        <w:rPr>
          <w:vanish/>
        </w:rPr>
      </w:pPr>
    </w:p>
    <w:tbl>
      <w:tblPr>
        <w:tblStyle w:val="PlainTable1"/>
        <w:tblW w:w="0" w:type="auto"/>
        <w:tblLook w:val="04A0" w:firstRow="1" w:lastRow="0" w:firstColumn="1" w:lastColumn="0" w:noHBand="0" w:noVBand="1"/>
      </w:tblPr>
      <w:tblGrid>
        <w:gridCol w:w="4225"/>
        <w:gridCol w:w="7141"/>
      </w:tblGrid>
      <w:tr w:rsidR="00E22ED3" w:rsidRPr="00E22ED3" w14:paraId="121CC0FA" w14:textId="77777777" w:rsidTr="00CB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vAlign w:val="center"/>
            <w:hideMark/>
          </w:tcPr>
          <w:p w14:paraId="7C494F92" w14:textId="77777777" w:rsidR="00E22ED3" w:rsidRPr="00E22ED3" w:rsidRDefault="00E22ED3" w:rsidP="00103796">
            <w:pPr>
              <w:spacing w:after="160" w:line="278" w:lineRule="auto"/>
            </w:pPr>
            <w:r w:rsidRPr="00E22ED3">
              <w:t xml:space="preserve">Retaliation for DEI-Related Complaints </w:t>
            </w:r>
            <w:r w:rsidRPr="00E22ED3">
              <w:br/>
            </w:r>
            <w:r w:rsidRPr="00E22ED3">
              <w:rPr>
                <w:i/>
                <w:iCs/>
              </w:rPr>
              <w:t>punishing an employee for questioning a DEI policy or training</w:t>
            </w:r>
          </w:p>
        </w:tc>
        <w:tc>
          <w:tcPr>
            <w:tcW w:w="7141" w:type="dxa"/>
            <w:shd w:val="clear" w:color="auto" w:fill="F2F2F2" w:themeFill="background1" w:themeFillShade="F2"/>
            <w:hideMark/>
          </w:tcPr>
          <w:p w14:paraId="47410058" w14:textId="6B8880A3"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Retaliating against employees who object to potential discrimination is unlawful​</w:t>
            </w:r>
            <w:r w:rsidR="00103796" w:rsidRPr="00103796">
              <w:rPr>
                <w:b w:val="0"/>
                <w:bCs w:val="0"/>
              </w:rPr>
              <w:t>.</w:t>
            </w:r>
            <w:r w:rsidRPr="00103796">
              <w:rPr>
                <w:b w:val="0"/>
                <w:bCs w:val="0"/>
              </w:rPr>
              <w:t xml:space="preserve"> </w:t>
            </w:r>
            <w:hyperlink r:id="rId17" w:anchor=":~:text=,%E2%80%9D" w:tgtFrame="_blank" w:history="1">
              <w:r w:rsidRPr="00E22ED3">
                <w:rPr>
                  <w:rStyle w:val="Hyperlink"/>
                  <w:b w:val="0"/>
                  <w:bCs w:val="0"/>
                </w:rPr>
                <w:t>morganlewis.com</w:t>
              </w:r>
            </w:hyperlink>
          </w:p>
          <w:p w14:paraId="3EE9486B" w14:textId="3A3C9772"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rPr>
                <w:b w:val="0"/>
                <w:bCs w:val="0"/>
              </w:rPr>
            </w:pPr>
            <w:r w:rsidRPr="00E22ED3">
              <w:rPr>
                <w:b w:val="0"/>
                <w:bCs w:val="0"/>
              </w:rPr>
              <w:t>If an employee reasonably believes a DEI program violates Title VII (and voices that concern or refuses participation), that is protected activity. Disciplining or terminating someone for such opposition could trigger a retaliation claim under Title VII​</w:t>
            </w:r>
            <w:r w:rsidRPr="00103796">
              <w:rPr>
                <w:b w:val="0"/>
                <w:bCs w:val="0"/>
              </w:rPr>
              <w:t xml:space="preserve">. </w:t>
            </w:r>
            <w:hyperlink r:id="rId18" w:anchor=":~:text=,%E2%80%9D" w:tgtFrame="_blank" w:history="1">
              <w:r w:rsidRPr="00E22ED3">
                <w:rPr>
                  <w:rStyle w:val="Hyperlink"/>
                  <w:b w:val="0"/>
                  <w:bCs w:val="0"/>
                </w:rPr>
                <w:t>morganlewis.com</w:t>
              </w:r>
            </w:hyperlink>
          </w:p>
          <w:p w14:paraId="168BF402" w14:textId="1C66181A" w:rsidR="00E22ED3" w:rsidRPr="00E22ED3" w:rsidRDefault="00E22ED3" w:rsidP="00E22ED3">
            <w:pPr>
              <w:spacing w:after="160" w:line="278" w:lineRule="auto"/>
              <w:cnfStyle w:val="100000000000" w:firstRow="1" w:lastRow="0" w:firstColumn="0" w:lastColumn="0" w:oddVBand="0" w:evenVBand="0" w:oddHBand="0" w:evenHBand="0" w:firstRowFirstColumn="0" w:firstRowLastColumn="0" w:lastRowFirstColumn="0" w:lastRowLastColumn="0"/>
            </w:pPr>
          </w:p>
        </w:tc>
      </w:tr>
    </w:tbl>
    <w:p w14:paraId="35AD78B9" w14:textId="77777777" w:rsidR="00E22ED3" w:rsidRDefault="00E22ED3"/>
    <w:sectPr w:rsidR="00E22ED3" w:rsidSect="00E22ED3">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D3"/>
    <w:rsid w:val="00103796"/>
    <w:rsid w:val="00BB0B09"/>
    <w:rsid w:val="00CB1935"/>
    <w:rsid w:val="00E2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373"/>
  <w15:chartTrackingRefBased/>
  <w15:docId w15:val="{637AA599-1695-4764-8E75-0ACC6220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2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2E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2E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2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E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E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E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E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D3"/>
    <w:rPr>
      <w:rFonts w:eastAsiaTheme="majorEastAsia" w:cstheme="majorBidi"/>
      <w:color w:val="272727" w:themeColor="text1" w:themeTint="D8"/>
    </w:rPr>
  </w:style>
  <w:style w:type="paragraph" w:styleId="Title">
    <w:name w:val="Title"/>
    <w:basedOn w:val="Normal"/>
    <w:next w:val="Normal"/>
    <w:link w:val="TitleChar"/>
    <w:uiPriority w:val="10"/>
    <w:qFormat/>
    <w:rsid w:val="00E2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D3"/>
    <w:pPr>
      <w:spacing w:before="160"/>
      <w:jc w:val="center"/>
    </w:pPr>
    <w:rPr>
      <w:i/>
      <w:iCs/>
      <w:color w:val="404040" w:themeColor="text1" w:themeTint="BF"/>
    </w:rPr>
  </w:style>
  <w:style w:type="character" w:customStyle="1" w:styleId="QuoteChar">
    <w:name w:val="Quote Char"/>
    <w:basedOn w:val="DefaultParagraphFont"/>
    <w:link w:val="Quote"/>
    <w:uiPriority w:val="29"/>
    <w:rsid w:val="00E22ED3"/>
    <w:rPr>
      <w:i/>
      <w:iCs/>
      <w:color w:val="404040" w:themeColor="text1" w:themeTint="BF"/>
    </w:rPr>
  </w:style>
  <w:style w:type="paragraph" w:styleId="ListParagraph">
    <w:name w:val="List Paragraph"/>
    <w:basedOn w:val="Normal"/>
    <w:uiPriority w:val="34"/>
    <w:qFormat/>
    <w:rsid w:val="00E22ED3"/>
    <w:pPr>
      <w:ind w:left="720"/>
      <w:contextualSpacing/>
    </w:pPr>
  </w:style>
  <w:style w:type="character" w:styleId="IntenseEmphasis">
    <w:name w:val="Intense Emphasis"/>
    <w:basedOn w:val="DefaultParagraphFont"/>
    <w:uiPriority w:val="21"/>
    <w:qFormat/>
    <w:rsid w:val="00E22ED3"/>
    <w:rPr>
      <w:i/>
      <w:iCs/>
      <w:color w:val="2F5496" w:themeColor="accent1" w:themeShade="BF"/>
    </w:rPr>
  </w:style>
  <w:style w:type="paragraph" w:styleId="IntenseQuote">
    <w:name w:val="Intense Quote"/>
    <w:basedOn w:val="Normal"/>
    <w:next w:val="Normal"/>
    <w:link w:val="IntenseQuoteChar"/>
    <w:uiPriority w:val="30"/>
    <w:qFormat/>
    <w:rsid w:val="00E2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2ED3"/>
    <w:rPr>
      <w:i/>
      <w:iCs/>
      <w:color w:val="2F5496" w:themeColor="accent1" w:themeShade="BF"/>
    </w:rPr>
  </w:style>
  <w:style w:type="character" w:styleId="IntenseReference">
    <w:name w:val="Intense Reference"/>
    <w:basedOn w:val="DefaultParagraphFont"/>
    <w:uiPriority w:val="32"/>
    <w:qFormat/>
    <w:rsid w:val="00E22ED3"/>
    <w:rPr>
      <w:b/>
      <w:bCs/>
      <w:smallCaps/>
      <w:color w:val="2F5496" w:themeColor="accent1" w:themeShade="BF"/>
      <w:spacing w:val="5"/>
    </w:rPr>
  </w:style>
  <w:style w:type="character" w:styleId="Hyperlink">
    <w:name w:val="Hyperlink"/>
    <w:basedOn w:val="DefaultParagraphFont"/>
    <w:uiPriority w:val="99"/>
    <w:unhideWhenUsed/>
    <w:rsid w:val="00E22ED3"/>
    <w:rPr>
      <w:color w:val="0563C1" w:themeColor="hyperlink"/>
      <w:u w:val="single"/>
    </w:rPr>
  </w:style>
  <w:style w:type="character" w:styleId="UnresolvedMention">
    <w:name w:val="Unresolved Mention"/>
    <w:basedOn w:val="DefaultParagraphFont"/>
    <w:uiPriority w:val="99"/>
    <w:semiHidden/>
    <w:unhideWhenUsed/>
    <w:rsid w:val="00E22ED3"/>
    <w:rPr>
      <w:color w:val="605E5C"/>
      <w:shd w:val="clear" w:color="auto" w:fill="E1DFDD"/>
    </w:rPr>
  </w:style>
  <w:style w:type="table" w:styleId="PlainTable1">
    <w:name w:val="Plain Table 1"/>
    <w:basedOn w:val="TableNormal"/>
    <w:uiPriority w:val="41"/>
    <w:rsid w:val="00E22E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TableGridLight">
    <w:name w:val="Grid Table Light"/>
    <w:basedOn w:val="TableNormal"/>
    <w:uiPriority w:val="40"/>
    <w:rsid w:val="00E22E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848239">
      <w:bodyDiv w:val="1"/>
      <w:marLeft w:val="0"/>
      <w:marRight w:val="0"/>
      <w:marTop w:val="0"/>
      <w:marBottom w:val="0"/>
      <w:divBdr>
        <w:top w:val="none" w:sz="0" w:space="0" w:color="auto"/>
        <w:left w:val="none" w:sz="0" w:space="0" w:color="auto"/>
        <w:bottom w:val="none" w:sz="0" w:space="0" w:color="auto"/>
        <w:right w:val="none" w:sz="0" w:space="0" w:color="auto"/>
      </w:divBdr>
      <w:divsChild>
        <w:div w:id="1098018655">
          <w:marLeft w:val="0"/>
          <w:marRight w:val="0"/>
          <w:marTop w:val="0"/>
          <w:marBottom w:val="0"/>
          <w:divBdr>
            <w:top w:val="none" w:sz="0" w:space="0" w:color="auto"/>
            <w:left w:val="none" w:sz="0" w:space="0" w:color="auto"/>
            <w:bottom w:val="none" w:sz="0" w:space="0" w:color="auto"/>
            <w:right w:val="none" w:sz="0" w:space="0" w:color="auto"/>
          </w:divBdr>
        </w:div>
        <w:div w:id="840900449">
          <w:marLeft w:val="0"/>
          <w:marRight w:val="0"/>
          <w:marTop w:val="0"/>
          <w:marBottom w:val="0"/>
          <w:divBdr>
            <w:top w:val="none" w:sz="0" w:space="0" w:color="auto"/>
            <w:left w:val="none" w:sz="0" w:space="0" w:color="auto"/>
            <w:bottom w:val="none" w:sz="0" w:space="0" w:color="auto"/>
            <w:right w:val="none" w:sz="0" w:space="0" w:color="auto"/>
          </w:divBdr>
        </w:div>
        <w:div w:id="74519310">
          <w:marLeft w:val="0"/>
          <w:marRight w:val="0"/>
          <w:marTop w:val="0"/>
          <w:marBottom w:val="0"/>
          <w:divBdr>
            <w:top w:val="none" w:sz="0" w:space="0" w:color="auto"/>
            <w:left w:val="none" w:sz="0" w:space="0" w:color="auto"/>
            <w:bottom w:val="none" w:sz="0" w:space="0" w:color="auto"/>
            <w:right w:val="none" w:sz="0" w:space="0" w:color="auto"/>
          </w:divBdr>
        </w:div>
        <w:div w:id="119106280">
          <w:marLeft w:val="0"/>
          <w:marRight w:val="0"/>
          <w:marTop w:val="0"/>
          <w:marBottom w:val="0"/>
          <w:divBdr>
            <w:top w:val="none" w:sz="0" w:space="0" w:color="auto"/>
            <w:left w:val="none" w:sz="0" w:space="0" w:color="auto"/>
            <w:bottom w:val="none" w:sz="0" w:space="0" w:color="auto"/>
            <w:right w:val="none" w:sz="0" w:space="0" w:color="auto"/>
          </w:divBdr>
        </w:div>
        <w:div w:id="137454898">
          <w:marLeft w:val="0"/>
          <w:marRight w:val="0"/>
          <w:marTop w:val="0"/>
          <w:marBottom w:val="0"/>
          <w:divBdr>
            <w:top w:val="none" w:sz="0" w:space="0" w:color="auto"/>
            <w:left w:val="none" w:sz="0" w:space="0" w:color="auto"/>
            <w:bottom w:val="none" w:sz="0" w:space="0" w:color="auto"/>
            <w:right w:val="none" w:sz="0" w:space="0" w:color="auto"/>
          </w:divBdr>
        </w:div>
        <w:div w:id="1737630903">
          <w:marLeft w:val="0"/>
          <w:marRight w:val="0"/>
          <w:marTop w:val="0"/>
          <w:marBottom w:val="0"/>
          <w:divBdr>
            <w:top w:val="none" w:sz="0" w:space="0" w:color="auto"/>
            <w:left w:val="none" w:sz="0" w:space="0" w:color="auto"/>
            <w:bottom w:val="none" w:sz="0" w:space="0" w:color="auto"/>
            <w:right w:val="none" w:sz="0" w:space="0" w:color="auto"/>
          </w:divBdr>
        </w:div>
        <w:div w:id="1428117355">
          <w:marLeft w:val="0"/>
          <w:marRight w:val="0"/>
          <w:marTop w:val="0"/>
          <w:marBottom w:val="0"/>
          <w:divBdr>
            <w:top w:val="none" w:sz="0" w:space="0" w:color="auto"/>
            <w:left w:val="none" w:sz="0" w:space="0" w:color="auto"/>
            <w:bottom w:val="none" w:sz="0" w:space="0" w:color="auto"/>
            <w:right w:val="none" w:sz="0" w:space="0" w:color="auto"/>
          </w:divBdr>
        </w:div>
        <w:div w:id="1340501501">
          <w:marLeft w:val="0"/>
          <w:marRight w:val="0"/>
          <w:marTop w:val="0"/>
          <w:marBottom w:val="0"/>
          <w:divBdr>
            <w:top w:val="none" w:sz="0" w:space="0" w:color="auto"/>
            <w:left w:val="none" w:sz="0" w:space="0" w:color="auto"/>
            <w:bottom w:val="none" w:sz="0" w:space="0" w:color="auto"/>
            <w:right w:val="none" w:sz="0" w:space="0" w:color="auto"/>
          </w:divBdr>
        </w:div>
        <w:div w:id="429013145">
          <w:marLeft w:val="0"/>
          <w:marRight w:val="0"/>
          <w:marTop w:val="0"/>
          <w:marBottom w:val="0"/>
          <w:divBdr>
            <w:top w:val="none" w:sz="0" w:space="0" w:color="auto"/>
            <w:left w:val="none" w:sz="0" w:space="0" w:color="auto"/>
            <w:bottom w:val="none" w:sz="0" w:space="0" w:color="auto"/>
            <w:right w:val="none" w:sz="0" w:space="0" w:color="auto"/>
          </w:divBdr>
        </w:div>
        <w:div w:id="1764647818">
          <w:marLeft w:val="0"/>
          <w:marRight w:val="0"/>
          <w:marTop w:val="0"/>
          <w:marBottom w:val="0"/>
          <w:divBdr>
            <w:top w:val="none" w:sz="0" w:space="0" w:color="auto"/>
            <w:left w:val="none" w:sz="0" w:space="0" w:color="auto"/>
            <w:bottom w:val="none" w:sz="0" w:space="0" w:color="auto"/>
            <w:right w:val="none" w:sz="0" w:space="0" w:color="auto"/>
          </w:divBdr>
        </w:div>
        <w:div w:id="71314910">
          <w:marLeft w:val="0"/>
          <w:marRight w:val="0"/>
          <w:marTop w:val="0"/>
          <w:marBottom w:val="0"/>
          <w:divBdr>
            <w:top w:val="none" w:sz="0" w:space="0" w:color="auto"/>
            <w:left w:val="none" w:sz="0" w:space="0" w:color="auto"/>
            <w:bottom w:val="none" w:sz="0" w:space="0" w:color="auto"/>
            <w:right w:val="none" w:sz="0" w:space="0" w:color="auto"/>
          </w:divBdr>
        </w:div>
        <w:div w:id="360516407">
          <w:marLeft w:val="0"/>
          <w:marRight w:val="0"/>
          <w:marTop w:val="0"/>
          <w:marBottom w:val="0"/>
          <w:divBdr>
            <w:top w:val="none" w:sz="0" w:space="0" w:color="auto"/>
            <w:left w:val="none" w:sz="0" w:space="0" w:color="auto"/>
            <w:bottom w:val="none" w:sz="0" w:space="0" w:color="auto"/>
            <w:right w:val="none" w:sz="0" w:space="0" w:color="auto"/>
          </w:divBdr>
        </w:div>
        <w:div w:id="1775133651">
          <w:marLeft w:val="0"/>
          <w:marRight w:val="0"/>
          <w:marTop w:val="0"/>
          <w:marBottom w:val="0"/>
          <w:divBdr>
            <w:top w:val="none" w:sz="0" w:space="0" w:color="auto"/>
            <w:left w:val="none" w:sz="0" w:space="0" w:color="auto"/>
            <w:bottom w:val="none" w:sz="0" w:space="0" w:color="auto"/>
            <w:right w:val="none" w:sz="0" w:space="0" w:color="auto"/>
          </w:divBdr>
        </w:div>
        <w:div w:id="364983217">
          <w:marLeft w:val="0"/>
          <w:marRight w:val="0"/>
          <w:marTop w:val="0"/>
          <w:marBottom w:val="0"/>
          <w:divBdr>
            <w:top w:val="none" w:sz="0" w:space="0" w:color="auto"/>
            <w:left w:val="none" w:sz="0" w:space="0" w:color="auto"/>
            <w:bottom w:val="none" w:sz="0" w:space="0" w:color="auto"/>
            <w:right w:val="none" w:sz="0" w:space="0" w:color="auto"/>
          </w:divBdr>
        </w:div>
        <w:div w:id="640038077">
          <w:marLeft w:val="0"/>
          <w:marRight w:val="0"/>
          <w:marTop w:val="0"/>
          <w:marBottom w:val="0"/>
          <w:divBdr>
            <w:top w:val="none" w:sz="0" w:space="0" w:color="auto"/>
            <w:left w:val="none" w:sz="0" w:space="0" w:color="auto"/>
            <w:bottom w:val="none" w:sz="0" w:space="0" w:color="auto"/>
            <w:right w:val="none" w:sz="0" w:space="0" w:color="auto"/>
          </w:divBdr>
        </w:div>
      </w:divsChild>
    </w:div>
    <w:div w:id="1729764448">
      <w:bodyDiv w:val="1"/>
      <w:marLeft w:val="0"/>
      <w:marRight w:val="0"/>
      <w:marTop w:val="0"/>
      <w:marBottom w:val="0"/>
      <w:divBdr>
        <w:top w:val="none" w:sz="0" w:space="0" w:color="auto"/>
        <w:left w:val="none" w:sz="0" w:space="0" w:color="auto"/>
        <w:bottom w:val="none" w:sz="0" w:space="0" w:color="auto"/>
        <w:right w:val="none" w:sz="0" w:space="0" w:color="auto"/>
      </w:divBdr>
      <w:divsChild>
        <w:div w:id="1962107953">
          <w:marLeft w:val="0"/>
          <w:marRight w:val="0"/>
          <w:marTop w:val="0"/>
          <w:marBottom w:val="0"/>
          <w:divBdr>
            <w:top w:val="none" w:sz="0" w:space="0" w:color="auto"/>
            <w:left w:val="none" w:sz="0" w:space="0" w:color="auto"/>
            <w:bottom w:val="none" w:sz="0" w:space="0" w:color="auto"/>
            <w:right w:val="none" w:sz="0" w:space="0" w:color="auto"/>
          </w:divBdr>
        </w:div>
        <w:div w:id="1464425054">
          <w:marLeft w:val="0"/>
          <w:marRight w:val="0"/>
          <w:marTop w:val="0"/>
          <w:marBottom w:val="0"/>
          <w:divBdr>
            <w:top w:val="none" w:sz="0" w:space="0" w:color="auto"/>
            <w:left w:val="none" w:sz="0" w:space="0" w:color="auto"/>
            <w:bottom w:val="none" w:sz="0" w:space="0" w:color="auto"/>
            <w:right w:val="none" w:sz="0" w:space="0" w:color="auto"/>
          </w:divBdr>
        </w:div>
        <w:div w:id="1977685682">
          <w:marLeft w:val="0"/>
          <w:marRight w:val="0"/>
          <w:marTop w:val="0"/>
          <w:marBottom w:val="0"/>
          <w:divBdr>
            <w:top w:val="none" w:sz="0" w:space="0" w:color="auto"/>
            <w:left w:val="none" w:sz="0" w:space="0" w:color="auto"/>
            <w:bottom w:val="none" w:sz="0" w:space="0" w:color="auto"/>
            <w:right w:val="none" w:sz="0" w:space="0" w:color="auto"/>
          </w:divBdr>
        </w:div>
        <w:div w:id="1019620503">
          <w:marLeft w:val="0"/>
          <w:marRight w:val="0"/>
          <w:marTop w:val="0"/>
          <w:marBottom w:val="0"/>
          <w:divBdr>
            <w:top w:val="none" w:sz="0" w:space="0" w:color="auto"/>
            <w:left w:val="none" w:sz="0" w:space="0" w:color="auto"/>
            <w:bottom w:val="none" w:sz="0" w:space="0" w:color="auto"/>
            <w:right w:val="none" w:sz="0" w:space="0" w:color="auto"/>
          </w:divBdr>
        </w:div>
        <w:div w:id="1308245300">
          <w:marLeft w:val="0"/>
          <w:marRight w:val="0"/>
          <w:marTop w:val="0"/>
          <w:marBottom w:val="0"/>
          <w:divBdr>
            <w:top w:val="none" w:sz="0" w:space="0" w:color="auto"/>
            <w:left w:val="none" w:sz="0" w:space="0" w:color="auto"/>
            <w:bottom w:val="none" w:sz="0" w:space="0" w:color="auto"/>
            <w:right w:val="none" w:sz="0" w:space="0" w:color="auto"/>
          </w:divBdr>
        </w:div>
        <w:div w:id="227886071">
          <w:marLeft w:val="0"/>
          <w:marRight w:val="0"/>
          <w:marTop w:val="0"/>
          <w:marBottom w:val="0"/>
          <w:divBdr>
            <w:top w:val="none" w:sz="0" w:space="0" w:color="auto"/>
            <w:left w:val="none" w:sz="0" w:space="0" w:color="auto"/>
            <w:bottom w:val="none" w:sz="0" w:space="0" w:color="auto"/>
            <w:right w:val="none" w:sz="0" w:space="0" w:color="auto"/>
          </w:divBdr>
        </w:div>
        <w:div w:id="154147806">
          <w:marLeft w:val="0"/>
          <w:marRight w:val="0"/>
          <w:marTop w:val="0"/>
          <w:marBottom w:val="0"/>
          <w:divBdr>
            <w:top w:val="none" w:sz="0" w:space="0" w:color="auto"/>
            <w:left w:val="none" w:sz="0" w:space="0" w:color="auto"/>
            <w:bottom w:val="none" w:sz="0" w:space="0" w:color="auto"/>
            <w:right w:val="none" w:sz="0" w:space="0" w:color="auto"/>
          </w:divBdr>
        </w:div>
        <w:div w:id="378743098">
          <w:marLeft w:val="0"/>
          <w:marRight w:val="0"/>
          <w:marTop w:val="0"/>
          <w:marBottom w:val="0"/>
          <w:divBdr>
            <w:top w:val="none" w:sz="0" w:space="0" w:color="auto"/>
            <w:left w:val="none" w:sz="0" w:space="0" w:color="auto"/>
            <w:bottom w:val="none" w:sz="0" w:space="0" w:color="auto"/>
            <w:right w:val="none" w:sz="0" w:space="0" w:color="auto"/>
          </w:divBdr>
        </w:div>
        <w:div w:id="1473789094">
          <w:marLeft w:val="0"/>
          <w:marRight w:val="0"/>
          <w:marTop w:val="0"/>
          <w:marBottom w:val="0"/>
          <w:divBdr>
            <w:top w:val="none" w:sz="0" w:space="0" w:color="auto"/>
            <w:left w:val="none" w:sz="0" w:space="0" w:color="auto"/>
            <w:bottom w:val="none" w:sz="0" w:space="0" w:color="auto"/>
            <w:right w:val="none" w:sz="0" w:space="0" w:color="auto"/>
          </w:divBdr>
        </w:div>
        <w:div w:id="1177157657">
          <w:marLeft w:val="0"/>
          <w:marRight w:val="0"/>
          <w:marTop w:val="0"/>
          <w:marBottom w:val="0"/>
          <w:divBdr>
            <w:top w:val="none" w:sz="0" w:space="0" w:color="auto"/>
            <w:left w:val="none" w:sz="0" w:space="0" w:color="auto"/>
            <w:bottom w:val="none" w:sz="0" w:space="0" w:color="auto"/>
            <w:right w:val="none" w:sz="0" w:space="0" w:color="auto"/>
          </w:divBdr>
        </w:div>
        <w:div w:id="133108163">
          <w:marLeft w:val="0"/>
          <w:marRight w:val="0"/>
          <w:marTop w:val="0"/>
          <w:marBottom w:val="0"/>
          <w:divBdr>
            <w:top w:val="none" w:sz="0" w:space="0" w:color="auto"/>
            <w:left w:val="none" w:sz="0" w:space="0" w:color="auto"/>
            <w:bottom w:val="none" w:sz="0" w:space="0" w:color="auto"/>
            <w:right w:val="none" w:sz="0" w:space="0" w:color="auto"/>
          </w:divBdr>
        </w:div>
        <w:div w:id="2085031009">
          <w:marLeft w:val="0"/>
          <w:marRight w:val="0"/>
          <w:marTop w:val="0"/>
          <w:marBottom w:val="0"/>
          <w:divBdr>
            <w:top w:val="none" w:sz="0" w:space="0" w:color="auto"/>
            <w:left w:val="none" w:sz="0" w:space="0" w:color="auto"/>
            <w:bottom w:val="none" w:sz="0" w:space="0" w:color="auto"/>
            <w:right w:val="none" w:sz="0" w:space="0" w:color="auto"/>
          </w:divBdr>
        </w:div>
        <w:div w:id="305282371">
          <w:marLeft w:val="0"/>
          <w:marRight w:val="0"/>
          <w:marTop w:val="0"/>
          <w:marBottom w:val="0"/>
          <w:divBdr>
            <w:top w:val="none" w:sz="0" w:space="0" w:color="auto"/>
            <w:left w:val="none" w:sz="0" w:space="0" w:color="auto"/>
            <w:bottom w:val="none" w:sz="0" w:space="0" w:color="auto"/>
            <w:right w:val="none" w:sz="0" w:space="0" w:color="auto"/>
          </w:divBdr>
        </w:div>
        <w:div w:id="359820939">
          <w:marLeft w:val="0"/>
          <w:marRight w:val="0"/>
          <w:marTop w:val="0"/>
          <w:marBottom w:val="0"/>
          <w:divBdr>
            <w:top w:val="none" w:sz="0" w:space="0" w:color="auto"/>
            <w:left w:val="none" w:sz="0" w:space="0" w:color="auto"/>
            <w:bottom w:val="none" w:sz="0" w:space="0" w:color="auto"/>
            <w:right w:val="none" w:sz="0" w:space="0" w:color="auto"/>
          </w:divBdr>
        </w:div>
        <w:div w:id="178245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yfarth.com/news-insights/eeoc-issues-new-technical-assistance-on-dei-related-discrimination.html" TargetMode="External"/><Relationship Id="rId13" Type="http://schemas.openxmlformats.org/officeDocument/2006/relationships/hyperlink" Target="https://www.seyfarth.com/news-insights/eeoc-issues-new-technical-assistance-on-dei-related-discrimination.html" TargetMode="External"/><Relationship Id="rId18" Type="http://schemas.openxmlformats.org/officeDocument/2006/relationships/hyperlink" Target="https://www.morganlewis.com/pubs/2025/03/eeoc-and-doj-issue-guidance-on-discrimination-related-to-dei-under-title-vii" TargetMode="External"/><Relationship Id="rId3" Type="http://schemas.openxmlformats.org/officeDocument/2006/relationships/webSettings" Target="webSettings.xml"/><Relationship Id="rId7" Type="http://schemas.openxmlformats.org/officeDocument/2006/relationships/hyperlink" Target="https://www.seyfarth.com/news-insights/eeoc-issues-new-technical-assistance-on-dei-related-discrimination.html" TargetMode="External"/><Relationship Id="rId12" Type="http://schemas.openxmlformats.org/officeDocument/2006/relationships/hyperlink" Target="https://www.seyfarth.com/news-insights/eeoc-issues-new-technical-assistance-on-dei-related-discrimination.html" TargetMode="External"/><Relationship Id="rId17" Type="http://schemas.openxmlformats.org/officeDocument/2006/relationships/hyperlink" Target="https://www.morganlewis.com/pubs/2025/03/eeoc-and-doj-issue-guidance-on-discrimination-related-to-dei-under-title-vii" TargetMode="External"/><Relationship Id="rId2" Type="http://schemas.openxmlformats.org/officeDocument/2006/relationships/settings" Target="settings.xml"/><Relationship Id="rId16" Type="http://schemas.openxmlformats.org/officeDocument/2006/relationships/hyperlink" Target="https://www.morganlewis.com/pubs/2025/03/eeoc-and-doj-issue-guidance-on-discrimination-related-to-dei-under-title-vi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eyfarth.com/news-insights/eeoc-issues-new-technical-assistance-on-dei-related-discrimination.html" TargetMode="External"/><Relationship Id="rId11" Type="http://schemas.openxmlformats.org/officeDocument/2006/relationships/hyperlink" Target="https://www.seyfarth.com/news-insights/eeoc-issues-new-technical-assistance-on-dei-related-discrimination.html" TargetMode="External"/><Relationship Id="rId5" Type="http://schemas.openxmlformats.org/officeDocument/2006/relationships/hyperlink" Target="https://www.hrdive.com/news/EEOC-anti-DEI-guidance-doj/743105/" TargetMode="External"/><Relationship Id="rId15" Type="http://schemas.openxmlformats.org/officeDocument/2006/relationships/hyperlink" Target="https://www.theemployerreport.com/2025/03/eeoc-and-doj-issue-joint-guidance-on-dei-related-discrimination/" TargetMode="External"/><Relationship Id="rId10" Type="http://schemas.openxmlformats.org/officeDocument/2006/relationships/hyperlink" Target="https://foleyhoag.com/news-and-insights/publications/alerts-and-updates/2025/march/eeoc-and-doj-outline-employment-practices-that-constitute-illegal-dei-in-new-guidelines/" TargetMode="External"/><Relationship Id="rId19" Type="http://schemas.openxmlformats.org/officeDocument/2006/relationships/fontTable" Target="fontTable.xml"/><Relationship Id="rId4" Type="http://schemas.openxmlformats.org/officeDocument/2006/relationships/hyperlink" Target="https://www.justice.gov/opa/pr/eeoc-and-justice-department-warn-against-unlawful-dei-related-discrimination" TargetMode="External"/><Relationship Id="rId9" Type="http://schemas.openxmlformats.org/officeDocument/2006/relationships/hyperlink" Target="https://foleyhoag.com/news-and-insights/publications/alerts-and-updates/2025/march/eeoc-and-doj-outline-employment-practices-that-constitute-illegal-dei-in-new-guidelines/" TargetMode="External"/><Relationship Id="rId14" Type="http://schemas.openxmlformats.org/officeDocument/2006/relationships/hyperlink" Target="https://ogletree.com/insights-resources/blog-posts/eeoc-answers-questions-about-what-constitutes-illegal-dei-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Burns</dc:creator>
  <cp:keywords/>
  <dc:description/>
  <cp:lastModifiedBy>Julie Burns</cp:lastModifiedBy>
  <cp:revision>1</cp:revision>
  <dcterms:created xsi:type="dcterms:W3CDTF">2025-03-24T06:13:00Z</dcterms:created>
  <dcterms:modified xsi:type="dcterms:W3CDTF">2025-03-24T06:38:00Z</dcterms:modified>
</cp:coreProperties>
</file>